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F0FD3" w14:textId="3AF5CC67" w:rsidR="00075966" w:rsidRPr="00702256" w:rsidRDefault="00075966">
      <w:pPr>
        <w:ind w:left="90" w:right="180"/>
        <w:rPr>
          <w:rFonts w:ascii="Century Gothic" w:eastAsia="Corbel" w:hAnsi="Century Gothic" w:cs="Corbel"/>
          <w:sz w:val="22"/>
        </w:rPr>
      </w:pPr>
    </w:p>
    <w:p w14:paraId="161AACEB" w14:textId="77777777" w:rsidR="00702256" w:rsidRPr="00075966" w:rsidRDefault="00702256" w:rsidP="00702256">
      <w:pPr>
        <w:pStyle w:val="Heading1"/>
        <w:ind w:right="1080" w:firstLine="720"/>
        <w:jc w:val="center"/>
        <w:rPr>
          <w:rFonts w:ascii="Corbel" w:eastAsia="Corbel" w:hAnsi="Corbel" w:cs="Corbel"/>
          <w:b/>
          <w:color w:val="000000"/>
          <w:sz w:val="36"/>
          <w:szCs w:val="36"/>
        </w:rPr>
      </w:pPr>
      <w:r>
        <w:rPr>
          <w:rFonts w:ascii="Corbel" w:eastAsia="Corbel" w:hAnsi="Corbel" w:cs="Corbel"/>
          <w:b/>
          <w:color w:val="000000"/>
          <w:sz w:val="36"/>
          <w:szCs w:val="36"/>
        </w:rPr>
        <w:t>Reflective Routines and Strategies</w:t>
      </w:r>
    </w:p>
    <w:p w14:paraId="3E3F1BCF" w14:textId="77777777" w:rsidR="00702256" w:rsidRDefault="00702256">
      <w:pPr>
        <w:ind w:left="90" w:right="180"/>
        <w:rPr>
          <w:rFonts w:ascii="Century Gothic" w:eastAsia="Corbel" w:hAnsi="Century Gothic" w:cs="Corbel"/>
          <w:sz w:val="22"/>
        </w:rPr>
      </w:pPr>
    </w:p>
    <w:p w14:paraId="02CF0E69" w14:textId="5E6AB218" w:rsidR="0018367F" w:rsidRPr="00702256" w:rsidRDefault="003A1BB1">
      <w:pPr>
        <w:ind w:left="90" w:right="180"/>
        <w:rPr>
          <w:rFonts w:ascii="Century Gothic" w:eastAsia="Corbel" w:hAnsi="Century Gothic" w:cs="Corbel"/>
          <w:sz w:val="22"/>
        </w:rPr>
      </w:pPr>
      <w:r w:rsidRPr="00702256">
        <w:rPr>
          <w:rFonts w:ascii="Century Gothic" w:eastAsia="Corbel" w:hAnsi="Century Gothic" w:cs="Corbel"/>
          <w:sz w:val="22"/>
        </w:rPr>
        <w:t xml:space="preserve">Below are a selection of routines and strategies that can be used to support student self-reflection.  </w:t>
      </w:r>
    </w:p>
    <w:p w14:paraId="5C689641" w14:textId="68156794" w:rsidR="0018367F" w:rsidRPr="00702256" w:rsidRDefault="0018367F">
      <w:pPr>
        <w:ind w:right="810"/>
        <w:rPr>
          <w:rFonts w:ascii="Century Gothic" w:eastAsia="Corbel" w:hAnsi="Century Gothic" w:cs="Corbel"/>
          <w:sz w:val="22"/>
        </w:rPr>
      </w:pPr>
    </w:p>
    <w:tbl>
      <w:tblPr>
        <w:tblStyle w:val="a"/>
        <w:tblW w:w="10800" w:type="dxa"/>
        <w:tblLayout w:type="fixed"/>
        <w:tblLook w:val="0400" w:firstRow="0" w:lastRow="0" w:firstColumn="0" w:lastColumn="0" w:noHBand="0" w:noVBand="1"/>
      </w:tblPr>
      <w:tblGrid>
        <w:gridCol w:w="10800"/>
      </w:tblGrid>
      <w:tr w:rsidR="0018367F" w:rsidRPr="00702256" w14:paraId="1CB23C09" w14:textId="77777777">
        <w:tc>
          <w:tcPr>
            <w:tcW w:w="10800" w:type="dxa"/>
          </w:tcPr>
          <w:p w14:paraId="335919BA" w14:textId="24DE473E" w:rsidR="0018367F" w:rsidRPr="00702256" w:rsidRDefault="003A1BB1">
            <w:pPr>
              <w:rPr>
                <w:rFonts w:ascii="Century Gothic" w:eastAsia="Corbel" w:hAnsi="Century Gothic" w:cs="Corbel"/>
                <w:b/>
                <w:sz w:val="22"/>
              </w:rPr>
            </w:pPr>
            <w:r w:rsidRPr="00702256">
              <w:rPr>
                <w:rFonts w:ascii="Century Gothic" w:eastAsia="Corbel" w:hAnsi="Century Gothic" w:cs="Corbel"/>
                <w:b/>
                <w:sz w:val="22"/>
              </w:rPr>
              <w:t xml:space="preserve">Thinking Routines: </w:t>
            </w:r>
          </w:p>
          <w:p w14:paraId="1D380924" w14:textId="77777777" w:rsidR="00702256" w:rsidRDefault="003A1BB1">
            <w:pPr>
              <w:ind w:right="330"/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sz w:val="22"/>
              </w:rPr>
              <w:t>Here are some helpful routines to develop students’ ability to reflect on the Core and Curricular Competencies.</w:t>
            </w:r>
            <w:r w:rsidR="00702256">
              <w:rPr>
                <w:rFonts w:ascii="Century Gothic" w:eastAsia="Corbel" w:hAnsi="Century Gothic" w:cs="Corbel"/>
                <w:sz w:val="22"/>
              </w:rPr>
              <w:t xml:space="preserve"> </w:t>
            </w:r>
          </w:p>
          <w:p w14:paraId="7C3CC471" w14:textId="2D407793" w:rsidR="0018367F" w:rsidRPr="00702256" w:rsidRDefault="00702256" w:rsidP="00702256">
            <w:pPr>
              <w:ind w:left="720" w:right="330"/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b/>
                <w:sz w:val="22"/>
              </w:rPr>
              <w:t>Tip:</w:t>
            </w:r>
            <w:r w:rsidR="003A1BB1" w:rsidRPr="00702256">
              <w:rPr>
                <w:rFonts w:ascii="Century Gothic" w:eastAsia="Corbel" w:hAnsi="Century Gothic" w:cs="Corbel"/>
                <w:sz w:val="22"/>
              </w:rPr>
              <w:t xml:space="preserve"> Choose one of these per unit and practice frequently to get students familiar with the reflection routine which will build students’ metacognitive skills. </w:t>
            </w:r>
          </w:p>
          <w:p w14:paraId="5E183757" w14:textId="77777777" w:rsidR="00702256" w:rsidRPr="00702256" w:rsidRDefault="00702256">
            <w:pPr>
              <w:ind w:right="330"/>
              <w:rPr>
                <w:rFonts w:ascii="Century Gothic" w:eastAsia="Corbel" w:hAnsi="Century Gothic" w:cs="Corbel"/>
                <w:sz w:val="22"/>
              </w:rPr>
            </w:pPr>
          </w:p>
          <w:tbl>
            <w:tblPr>
              <w:tblStyle w:val="a0"/>
              <w:tblW w:w="1042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75"/>
              <w:gridCol w:w="3475"/>
              <w:gridCol w:w="3475"/>
            </w:tblGrid>
            <w:tr w:rsidR="0018367F" w:rsidRPr="00702256" w14:paraId="63C5B5DB" w14:textId="77777777">
              <w:trPr>
                <w:jc w:val="center"/>
              </w:trPr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491504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  <w:t>Split Screen:</w:t>
                  </w:r>
                </w:p>
                <w:p w14:paraId="08B81EF0" w14:textId="73AF986B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0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Resource One</w:t>
                    </w:r>
                  </w:hyperlink>
                  <w:r w:rsidR="003A1BB1" w:rsidRPr="00702256"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  <w:t xml:space="preserve">    </w:t>
                  </w:r>
                  <w:hyperlink r:id="rId11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Resource Two</w:t>
                    </w:r>
                  </w:hyperlink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87808E" w14:textId="62D575E5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2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C</w:t>
                    </w:r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S</w:t>
                    </w:r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 xml:space="preserve">I – </w:t>
                    </w:r>
                    <w:proofErr w:type="spellStart"/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C</w:t>
                    </w:r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olour</w:t>
                    </w:r>
                    <w:proofErr w:type="spellEnd"/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 xml:space="preserve"> Symbol Image</w:t>
                    </w:r>
                  </w:hyperlink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B973C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3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Claim, Support, Question</w:t>
                    </w:r>
                  </w:hyperlink>
                </w:p>
              </w:tc>
            </w:tr>
            <w:tr w:rsidR="0018367F" w:rsidRPr="00702256" w14:paraId="2A7EE7A4" w14:textId="77777777">
              <w:trPr>
                <w:jc w:val="center"/>
              </w:trPr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E8354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4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Think Pair Share</w:t>
                    </w:r>
                  </w:hyperlink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0EF28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5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See Think Wonder</w:t>
                    </w:r>
                  </w:hyperlink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C38981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6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Compass Points</w:t>
                    </w:r>
                  </w:hyperlink>
                </w:p>
              </w:tc>
            </w:tr>
            <w:tr w:rsidR="0018367F" w:rsidRPr="00702256" w14:paraId="6B5F3E3E" w14:textId="77777777">
              <w:trPr>
                <w:jc w:val="center"/>
              </w:trPr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8946E2" w14:textId="77777777" w:rsidR="0018367F" w:rsidRPr="00702256" w:rsidRDefault="00AE01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7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Chalk Talk</w:t>
                    </w:r>
                  </w:hyperlink>
                  <w:r w:rsidR="003A1BB1" w:rsidRPr="00702256">
                    <w:rPr>
                      <w:rFonts w:ascii="Century Gothic" w:eastAsia="Corbel" w:hAnsi="Century Gothic" w:cs="Corbel"/>
                      <w:color w:val="4A86E8"/>
                      <w:sz w:val="22"/>
                      <w:u w:val="single"/>
                    </w:rPr>
                    <w:t xml:space="preserve"> </w:t>
                  </w:r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7130CE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8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I used to think, N</w:t>
                    </w:r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o</w:t>
                    </w:r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w I think</w:t>
                    </w:r>
                  </w:hyperlink>
                </w:p>
              </w:tc>
              <w:tc>
                <w:tcPr>
                  <w:tcW w:w="3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6A2D79" w14:textId="77777777" w:rsidR="0018367F" w:rsidRPr="00702256" w:rsidRDefault="00AE0152">
                  <w:pPr>
                    <w:rPr>
                      <w:rFonts w:ascii="Century Gothic" w:eastAsia="Corbel" w:hAnsi="Century Gothic" w:cs="Corbel"/>
                      <w:color w:val="4A86E8"/>
                      <w:sz w:val="22"/>
                    </w:rPr>
                  </w:pPr>
                  <w:hyperlink r:id="rId19">
                    <w:r w:rsidR="003A1BB1" w:rsidRPr="00702256">
                      <w:rPr>
                        <w:rFonts w:ascii="Century Gothic" w:eastAsia="Corbel" w:hAnsi="Century Gothic" w:cs="Corbel"/>
                        <w:color w:val="4A86E8"/>
                        <w:sz w:val="22"/>
                        <w:u w:val="single"/>
                      </w:rPr>
                      <w:t>Plus, Minus, Interesting</w:t>
                    </w:r>
                  </w:hyperlink>
                </w:p>
              </w:tc>
            </w:tr>
          </w:tbl>
          <w:p w14:paraId="3FE3AEB5" w14:textId="77777777" w:rsidR="0018367F" w:rsidRPr="00702256" w:rsidRDefault="0018367F">
            <w:pPr>
              <w:rPr>
                <w:rFonts w:ascii="Century Gothic" w:eastAsia="Corbel" w:hAnsi="Century Gothic" w:cs="Corbel"/>
                <w:sz w:val="22"/>
              </w:rPr>
            </w:pPr>
          </w:p>
        </w:tc>
      </w:tr>
    </w:tbl>
    <w:p w14:paraId="7CB5D66B" w14:textId="3257E09D" w:rsidR="0018367F" w:rsidRPr="00702256" w:rsidRDefault="0018367F">
      <w:pPr>
        <w:rPr>
          <w:rFonts w:ascii="Century Gothic" w:hAnsi="Century Gothic"/>
          <w:sz w:val="22"/>
        </w:rPr>
      </w:pPr>
    </w:p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10800"/>
      </w:tblGrid>
      <w:tr w:rsidR="0018367F" w:rsidRPr="00702256" w14:paraId="2184D765" w14:textId="77777777">
        <w:trPr>
          <w:trHeight w:val="3180"/>
        </w:trPr>
        <w:tc>
          <w:tcPr>
            <w:tcW w:w="10800" w:type="dxa"/>
          </w:tcPr>
          <w:p w14:paraId="66EFCD11" w14:textId="6A6CFF30" w:rsidR="0018367F" w:rsidRPr="00702256" w:rsidRDefault="003A1BB1">
            <w:pPr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b/>
                <w:sz w:val="22"/>
              </w:rPr>
              <w:t>Intention Starters</w:t>
            </w:r>
            <w:r w:rsidR="00702256">
              <w:rPr>
                <w:rFonts w:ascii="Century Gothic" w:eastAsia="Corbel" w:hAnsi="Century Gothic" w:cs="Corbel"/>
                <w:sz w:val="22"/>
              </w:rPr>
              <w:t xml:space="preserve">: </w:t>
            </w:r>
          </w:p>
          <w:p w14:paraId="73D35E81" w14:textId="77777777" w:rsidR="00702256" w:rsidRPr="00702256" w:rsidRDefault="00702256">
            <w:pPr>
              <w:rPr>
                <w:rFonts w:ascii="Century Gothic" w:eastAsia="Corbel" w:hAnsi="Century Gothic" w:cs="Corbel"/>
                <w:sz w:val="22"/>
              </w:rPr>
            </w:pPr>
          </w:p>
          <w:p w14:paraId="189AEB4E" w14:textId="77777777" w:rsidR="0018367F" w:rsidRPr="00702256" w:rsidRDefault="003A1BB1">
            <w:pPr>
              <w:ind w:right="225"/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sz w:val="22"/>
              </w:rPr>
              <w:t xml:space="preserve">Provide students with sentence starters to help them formulate intentions for themselves as learners prior to a task, a day, or a week by articulating what they hope they will remember to do or be as a learner. These prompts </w:t>
            </w:r>
            <w:r w:rsidR="00075966" w:rsidRPr="00702256">
              <w:rPr>
                <w:rFonts w:ascii="Century Gothic" w:eastAsia="Corbel" w:hAnsi="Century Gothic" w:cs="Corbel"/>
                <w:sz w:val="22"/>
              </w:rPr>
              <w:t>highlight the</w:t>
            </w:r>
            <w:r w:rsidRPr="00702256">
              <w:rPr>
                <w:rFonts w:ascii="Century Gothic" w:eastAsia="Corbel" w:hAnsi="Century Gothic" w:cs="Corbel"/>
                <w:sz w:val="22"/>
              </w:rPr>
              <w:t xml:space="preserve"> Core Competency focus for the student and provide them with a basis for reflection at the end of a session. Students may state their intention orally or record the statement on a post-it note, displaying it in their work area or on the wall. </w:t>
            </w:r>
          </w:p>
          <w:p w14:paraId="0A41D8EB" w14:textId="77777777" w:rsidR="0018367F" w:rsidRPr="00702256" w:rsidRDefault="0018367F">
            <w:pPr>
              <w:rPr>
                <w:rFonts w:ascii="Century Gothic" w:eastAsia="Corbel" w:hAnsi="Century Gothic" w:cs="Corbel"/>
                <w:sz w:val="22"/>
              </w:rPr>
            </w:pPr>
          </w:p>
          <w:tbl>
            <w:tblPr>
              <w:tblStyle w:val="a2"/>
              <w:tblW w:w="1059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8"/>
              <w:gridCol w:w="2118"/>
              <w:gridCol w:w="2118"/>
              <w:gridCol w:w="2118"/>
              <w:gridCol w:w="2118"/>
            </w:tblGrid>
            <w:tr w:rsidR="0018367F" w:rsidRPr="00702256" w14:paraId="53C7E603" w14:textId="77777777">
              <w:trPr>
                <w:jc w:val="center"/>
              </w:trPr>
              <w:tc>
                <w:tcPr>
                  <w:tcW w:w="2118" w:type="dxa"/>
                </w:tcPr>
                <w:p w14:paraId="1B2B7116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>One new thing I will try is…</w:t>
                  </w:r>
                </w:p>
              </w:tc>
              <w:tc>
                <w:tcPr>
                  <w:tcW w:w="2118" w:type="dxa"/>
                </w:tcPr>
                <w:p w14:paraId="6C9E17EE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>I will challenge myself by…</w:t>
                  </w:r>
                </w:p>
              </w:tc>
              <w:tc>
                <w:tcPr>
                  <w:tcW w:w="2118" w:type="dxa"/>
                </w:tcPr>
                <w:p w14:paraId="0808F57C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>I need to focus on…</w:t>
                  </w:r>
                </w:p>
              </w:tc>
              <w:tc>
                <w:tcPr>
                  <w:tcW w:w="2118" w:type="dxa"/>
                </w:tcPr>
                <w:p w14:paraId="5ABE3870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>I’ll get more out of this by…</w:t>
                  </w:r>
                </w:p>
              </w:tc>
              <w:tc>
                <w:tcPr>
                  <w:tcW w:w="2118" w:type="dxa"/>
                </w:tcPr>
                <w:p w14:paraId="4E8808D6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>I can help myself by…</w:t>
                  </w:r>
                </w:p>
              </w:tc>
            </w:tr>
          </w:tbl>
          <w:p w14:paraId="36CFECFD" w14:textId="77777777" w:rsidR="0018367F" w:rsidRPr="00702256" w:rsidRDefault="0018367F">
            <w:pPr>
              <w:rPr>
                <w:rFonts w:ascii="Century Gothic" w:eastAsia="Corbel" w:hAnsi="Century Gothic" w:cs="Corbel"/>
                <w:sz w:val="22"/>
              </w:rPr>
            </w:pPr>
          </w:p>
          <w:p w14:paraId="61C36EF7" w14:textId="77777777" w:rsidR="00075966" w:rsidRPr="00702256" w:rsidRDefault="00075966">
            <w:pPr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sz w:val="22"/>
              </w:rPr>
              <w:t xml:space="preserve">See </w:t>
            </w:r>
            <w:r w:rsidRPr="00702256">
              <w:rPr>
                <w:rFonts w:ascii="Century Gothic" w:eastAsia="Corbel" w:hAnsi="Century Gothic" w:cs="Corbel"/>
                <w:sz w:val="22"/>
                <w:u w:val="single"/>
              </w:rPr>
              <w:t>SACC Guiding Prompts and Reflection Stems</w:t>
            </w:r>
            <w:r w:rsidRPr="00702256">
              <w:rPr>
                <w:rFonts w:ascii="Century Gothic" w:eastAsia="Corbel" w:hAnsi="Century Gothic" w:cs="Corbel"/>
                <w:sz w:val="22"/>
              </w:rPr>
              <w:t xml:space="preserve"> for more ideas on the Curriculum Hub.  </w:t>
            </w:r>
          </w:p>
        </w:tc>
      </w:tr>
    </w:tbl>
    <w:p w14:paraId="0047F31F" w14:textId="04066570" w:rsidR="0018367F" w:rsidRPr="00702256" w:rsidRDefault="0018367F" w:rsidP="00075966">
      <w:pPr>
        <w:rPr>
          <w:rFonts w:ascii="Century Gothic" w:eastAsia="Corbel" w:hAnsi="Century Gothic" w:cs="Corbel"/>
          <w:sz w:val="22"/>
        </w:rPr>
      </w:pPr>
    </w:p>
    <w:tbl>
      <w:tblPr>
        <w:tblStyle w:val="a3"/>
        <w:tblW w:w="10800" w:type="dxa"/>
        <w:tblLayout w:type="fixed"/>
        <w:tblLook w:val="0400" w:firstRow="0" w:lastRow="0" w:firstColumn="0" w:lastColumn="0" w:noHBand="0" w:noVBand="1"/>
      </w:tblPr>
      <w:tblGrid>
        <w:gridCol w:w="10800"/>
      </w:tblGrid>
      <w:tr w:rsidR="0018367F" w:rsidRPr="00702256" w14:paraId="6665EA20" w14:textId="77777777">
        <w:tc>
          <w:tcPr>
            <w:tcW w:w="10800" w:type="dxa"/>
          </w:tcPr>
          <w:p w14:paraId="63468CEE" w14:textId="77777777" w:rsidR="0018367F" w:rsidRPr="00702256" w:rsidRDefault="003A1BB1">
            <w:pPr>
              <w:rPr>
                <w:rFonts w:ascii="Century Gothic" w:eastAsia="Corbel" w:hAnsi="Century Gothic" w:cs="Corbel"/>
                <w:sz w:val="22"/>
              </w:rPr>
            </w:pPr>
            <w:bookmarkStart w:id="0" w:name="_heading=h.b3lnx9ttdlfd" w:colFirst="0" w:colLast="0"/>
            <w:bookmarkStart w:id="1" w:name="_heading=h.tyibrxxd31cf" w:colFirst="0" w:colLast="0"/>
            <w:bookmarkEnd w:id="0"/>
            <w:bookmarkEnd w:id="1"/>
            <w:r w:rsidRPr="00702256">
              <w:rPr>
                <w:rFonts w:ascii="Century Gothic" w:eastAsia="Corbel" w:hAnsi="Century Gothic" w:cs="Corbel"/>
                <w:b/>
                <w:sz w:val="22"/>
              </w:rPr>
              <w:t>Take the Core Competencies Beyond School</w:t>
            </w:r>
            <w:r w:rsidRPr="00702256">
              <w:rPr>
                <w:rFonts w:ascii="Century Gothic" w:eastAsia="Corbel" w:hAnsi="Century Gothic" w:cs="Corbel"/>
                <w:sz w:val="22"/>
              </w:rPr>
              <w:t xml:space="preserve"> (Kath Murdoch, 2015, p. 105)</w:t>
            </w:r>
          </w:p>
          <w:p w14:paraId="249967CC" w14:textId="4DA5EF94" w:rsidR="0018367F" w:rsidRPr="00702256" w:rsidRDefault="003A1BB1">
            <w:pPr>
              <w:ind w:right="225"/>
              <w:rPr>
                <w:rFonts w:ascii="Century Gothic" w:eastAsia="Corbel" w:hAnsi="Century Gothic" w:cs="Corbel"/>
                <w:sz w:val="22"/>
              </w:rPr>
            </w:pPr>
            <w:r w:rsidRPr="00702256">
              <w:rPr>
                <w:rFonts w:ascii="Century Gothic" w:eastAsia="Corbel" w:hAnsi="Century Gothic" w:cs="Corbel"/>
                <w:sz w:val="22"/>
              </w:rPr>
              <w:t>Not only are the Core Competencies evident at school, they are transferable to situations beyond the classroom. Helping students generalize these skills to their lives is a significant step in consolidating the reflective toolkit. One effective technique is to put an aspect of a Core Competency in the spotlight for a week</w:t>
            </w:r>
            <w:r w:rsidR="00702256">
              <w:rPr>
                <w:rFonts w:ascii="Century Gothic" w:eastAsia="Corbel" w:hAnsi="Century Gothic" w:cs="Corbel"/>
                <w:sz w:val="22"/>
              </w:rPr>
              <w:t xml:space="preserve">, </w:t>
            </w:r>
            <w:r w:rsidRPr="00702256">
              <w:rPr>
                <w:rFonts w:ascii="Century Gothic" w:eastAsia="Corbel" w:hAnsi="Century Gothic" w:cs="Corbel"/>
                <w:sz w:val="22"/>
              </w:rPr>
              <w:t>month</w:t>
            </w:r>
            <w:r w:rsidR="00702256">
              <w:rPr>
                <w:rFonts w:ascii="Century Gothic" w:eastAsia="Corbel" w:hAnsi="Century Gothic" w:cs="Corbel"/>
                <w:sz w:val="22"/>
              </w:rPr>
              <w:t xml:space="preserve">, </w:t>
            </w:r>
            <w:bookmarkStart w:id="2" w:name="_GoBack"/>
            <w:bookmarkEnd w:id="2"/>
            <w:r w:rsidRPr="00702256">
              <w:rPr>
                <w:rFonts w:ascii="Century Gothic" w:eastAsia="Corbel" w:hAnsi="Century Gothic" w:cs="Corbel"/>
                <w:sz w:val="22"/>
              </w:rPr>
              <w:t>or term and ask students to set a goal relating to their lives at home. This can be written in a school agenda or in a journal.</w:t>
            </w:r>
          </w:p>
          <w:p w14:paraId="2C2FBD1A" w14:textId="77777777" w:rsidR="0018367F" w:rsidRPr="00702256" w:rsidRDefault="0018367F">
            <w:pPr>
              <w:rPr>
                <w:rFonts w:ascii="Century Gothic" w:eastAsia="Corbel" w:hAnsi="Century Gothic" w:cs="Corbel"/>
                <w:b/>
                <w:sz w:val="22"/>
              </w:rPr>
            </w:pPr>
          </w:p>
          <w:p w14:paraId="3E764691" w14:textId="77777777" w:rsidR="0018367F" w:rsidRPr="00702256" w:rsidRDefault="003A1BB1">
            <w:pPr>
              <w:rPr>
                <w:rFonts w:ascii="Century Gothic" w:eastAsia="Corbel" w:hAnsi="Century Gothic" w:cs="Corbel"/>
                <w:b/>
                <w:sz w:val="22"/>
              </w:rPr>
            </w:pPr>
            <w:r w:rsidRPr="00702256">
              <w:rPr>
                <w:rFonts w:ascii="Century Gothic" w:eastAsia="Corbel" w:hAnsi="Century Gothic" w:cs="Corbel"/>
                <w:b/>
                <w:sz w:val="22"/>
              </w:rPr>
              <w:t xml:space="preserve">Example:  </w:t>
            </w:r>
          </w:p>
          <w:tbl>
            <w:tblPr>
              <w:tblStyle w:val="a4"/>
              <w:tblW w:w="1060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600"/>
            </w:tblGrid>
            <w:tr w:rsidR="0018367F" w:rsidRPr="00702256" w14:paraId="67C74AFF" w14:textId="77777777">
              <w:trPr>
                <w:jc w:val="center"/>
              </w:trPr>
              <w:tc>
                <w:tcPr>
                  <w:tcW w:w="10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7E0463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Name: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>Jenny</w:t>
                  </w:r>
                </w:p>
                <w:p w14:paraId="2F7B3065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i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This week, I will focus on: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>My communication skills</w:t>
                  </w:r>
                </w:p>
                <w:p w14:paraId="23FC51C8" w14:textId="77777777" w:rsidR="0018367F" w:rsidRPr="00702256" w:rsidRDefault="003A1BB1">
                  <w:pPr>
                    <w:ind w:right="-660"/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I want to get better at: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>Cooperating with my brother</w:t>
                  </w:r>
                </w:p>
                <w:p w14:paraId="21DA3D40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i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Because: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>When I fight with my brother I feel sad and I get in trouble.</w:t>
                  </w:r>
                </w:p>
                <w:p w14:paraId="4C6C80B0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I plan to: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>Listen to his ideas and do what he wants to do some of the time.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</w:t>
                  </w:r>
                </w:p>
                <w:p w14:paraId="7991C1DE" w14:textId="77777777" w:rsidR="0018367F" w:rsidRPr="00702256" w:rsidRDefault="003A1BB1">
                  <w:pPr>
                    <w:rPr>
                      <w:rFonts w:ascii="Century Gothic" w:eastAsia="Corbel" w:hAnsi="Century Gothic" w:cs="Corbel"/>
                      <w:b/>
                      <w:sz w:val="22"/>
                    </w:rPr>
                  </w:pPr>
                  <w:r w:rsidRPr="00702256">
                    <w:rPr>
                      <w:rFonts w:ascii="Century Gothic" w:eastAsia="Corbel" w:hAnsi="Century Gothic" w:cs="Corbel"/>
                      <w:b/>
                      <w:sz w:val="22"/>
                    </w:rPr>
                    <w:t>Reflection:</w:t>
                  </w:r>
                  <w:r w:rsidRPr="00702256">
                    <w:rPr>
                      <w:rFonts w:ascii="Century Gothic" w:eastAsia="Corbel" w:hAnsi="Century Gothic" w:cs="Corbel"/>
                      <w:sz w:val="22"/>
                    </w:rPr>
                    <w:t xml:space="preserve">  </w:t>
                  </w:r>
                  <w:r w:rsidRPr="00702256">
                    <w:rPr>
                      <w:rFonts w:ascii="Century Gothic" w:eastAsia="Corbel" w:hAnsi="Century Gothic" w:cs="Corbel"/>
                      <w:i/>
                      <w:sz w:val="22"/>
                    </w:rPr>
                    <w:t xml:space="preserve">I fought less with my brother this week. We played Minecraft three times and we played outside twice. My brother was not as annoying because I listened to him sometimes. </w:t>
                  </w:r>
                </w:p>
              </w:tc>
            </w:tr>
          </w:tbl>
          <w:p w14:paraId="63950176" w14:textId="77777777" w:rsidR="0018367F" w:rsidRPr="00702256" w:rsidRDefault="0018367F">
            <w:pPr>
              <w:rPr>
                <w:rFonts w:ascii="Century Gothic" w:eastAsia="Corbel" w:hAnsi="Century Gothic" w:cs="Corbel"/>
                <w:i/>
                <w:sz w:val="22"/>
              </w:rPr>
            </w:pPr>
          </w:p>
        </w:tc>
      </w:tr>
    </w:tbl>
    <w:p w14:paraId="18289251" w14:textId="77777777" w:rsidR="00702256" w:rsidRPr="00702256" w:rsidRDefault="00702256">
      <w:pPr>
        <w:jc w:val="center"/>
        <w:rPr>
          <w:rFonts w:ascii="Century Gothic" w:eastAsia="Corbel" w:hAnsi="Century Gothic" w:cs="Corbel"/>
          <w:sz w:val="22"/>
        </w:rPr>
      </w:pPr>
    </w:p>
    <w:p w14:paraId="249DC0ED" w14:textId="09C3602E" w:rsidR="00702256" w:rsidRPr="00702256" w:rsidRDefault="003A1BB1" w:rsidP="00702256">
      <w:pPr>
        <w:rPr>
          <w:rFonts w:ascii="Century Gothic" w:eastAsia="Corbel" w:hAnsi="Century Gothic" w:cs="Corbel"/>
          <w:b/>
          <w:sz w:val="22"/>
        </w:rPr>
      </w:pPr>
      <w:r w:rsidRPr="00702256">
        <w:rPr>
          <w:rFonts w:ascii="Century Gothic" w:eastAsia="Corbel" w:hAnsi="Century Gothic" w:cs="Corbel"/>
          <w:b/>
          <w:sz w:val="22"/>
        </w:rPr>
        <w:t xml:space="preserve">Reference </w:t>
      </w:r>
    </w:p>
    <w:p w14:paraId="04659C1A" w14:textId="7309C6DA" w:rsidR="0018367F" w:rsidRPr="00702256" w:rsidRDefault="003A1BB1">
      <w:pPr>
        <w:ind w:left="720" w:hanging="720"/>
        <w:rPr>
          <w:rFonts w:ascii="Century Gothic" w:eastAsia="Corbel" w:hAnsi="Century Gothic" w:cs="Corbel"/>
          <w:sz w:val="22"/>
        </w:rPr>
      </w:pPr>
      <w:r w:rsidRPr="00702256">
        <w:rPr>
          <w:rFonts w:ascii="Century Gothic" w:eastAsia="Corbel" w:hAnsi="Century Gothic" w:cs="Corbel"/>
          <w:sz w:val="22"/>
        </w:rPr>
        <w:t xml:space="preserve">Murdoch, K. (2015). </w:t>
      </w:r>
      <w:r w:rsidRPr="00702256">
        <w:rPr>
          <w:rFonts w:ascii="Century Gothic" w:eastAsia="Corbel" w:hAnsi="Century Gothic" w:cs="Corbel"/>
          <w:i/>
          <w:sz w:val="22"/>
        </w:rPr>
        <w:t xml:space="preserve">The </w:t>
      </w:r>
      <w:r w:rsidR="00702256">
        <w:rPr>
          <w:rFonts w:ascii="Century Gothic" w:eastAsia="Corbel" w:hAnsi="Century Gothic" w:cs="Corbel"/>
          <w:i/>
          <w:sz w:val="22"/>
        </w:rPr>
        <w:t>p</w:t>
      </w:r>
      <w:r w:rsidRPr="00702256">
        <w:rPr>
          <w:rFonts w:ascii="Century Gothic" w:eastAsia="Corbel" w:hAnsi="Century Gothic" w:cs="Corbel"/>
          <w:i/>
          <w:sz w:val="22"/>
        </w:rPr>
        <w:t xml:space="preserve">ower of </w:t>
      </w:r>
      <w:r w:rsidR="00702256">
        <w:rPr>
          <w:rFonts w:ascii="Century Gothic" w:eastAsia="Corbel" w:hAnsi="Century Gothic" w:cs="Corbel"/>
          <w:i/>
          <w:sz w:val="22"/>
        </w:rPr>
        <w:t>i</w:t>
      </w:r>
      <w:r w:rsidRPr="00702256">
        <w:rPr>
          <w:rFonts w:ascii="Century Gothic" w:eastAsia="Corbel" w:hAnsi="Century Gothic" w:cs="Corbel"/>
          <w:i/>
          <w:sz w:val="22"/>
        </w:rPr>
        <w:t>nquiry</w:t>
      </w:r>
      <w:r w:rsidRPr="00702256">
        <w:rPr>
          <w:rFonts w:ascii="Century Gothic" w:eastAsia="Corbel" w:hAnsi="Century Gothic" w:cs="Corbel"/>
          <w:sz w:val="22"/>
        </w:rPr>
        <w:t>:  teaching and learning with curiosity, creativity and purpose</w:t>
      </w:r>
      <w:r w:rsidR="00702256">
        <w:rPr>
          <w:rFonts w:ascii="Century Gothic" w:eastAsia="Corbel" w:hAnsi="Century Gothic" w:cs="Corbel"/>
          <w:sz w:val="22"/>
        </w:rPr>
        <w:t xml:space="preserve"> </w:t>
      </w:r>
      <w:r w:rsidRPr="00702256">
        <w:rPr>
          <w:rFonts w:ascii="Century Gothic" w:eastAsia="Corbel" w:hAnsi="Century Gothic" w:cs="Corbel"/>
          <w:sz w:val="22"/>
        </w:rPr>
        <w:t>in the contemporary classroom. Northcote</w:t>
      </w:r>
      <w:r w:rsidR="00702256">
        <w:rPr>
          <w:rFonts w:ascii="Century Gothic" w:eastAsia="Corbel" w:hAnsi="Century Gothic" w:cs="Corbel"/>
          <w:sz w:val="22"/>
        </w:rPr>
        <w:t>:</w:t>
      </w:r>
      <w:r w:rsidRPr="00702256">
        <w:rPr>
          <w:rFonts w:ascii="Century Gothic" w:eastAsia="Corbel" w:hAnsi="Century Gothic" w:cs="Corbel"/>
          <w:sz w:val="22"/>
        </w:rPr>
        <w:t xml:space="preserve"> Vic</w:t>
      </w:r>
      <w:r w:rsidR="00702256">
        <w:rPr>
          <w:rFonts w:ascii="Century Gothic" w:eastAsia="Corbel" w:hAnsi="Century Gothic" w:cs="Corbel"/>
          <w:sz w:val="22"/>
        </w:rPr>
        <w:t>toria</w:t>
      </w:r>
      <w:r w:rsidRPr="00702256">
        <w:rPr>
          <w:rFonts w:ascii="Century Gothic" w:eastAsia="Corbel" w:hAnsi="Century Gothic" w:cs="Corbel"/>
          <w:sz w:val="22"/>
        </w:rPr>
        <w:t xml:space="preserve">. </w:t>
      </w:r>
      <w:proofErr w:type="spellStart"/>
      <w:r w:rsidRPr="00702256">
        <w:rPr>
          <w:rFonts w:ascii="Century Gothic" w:eastAsia="Corbel" w:hAnsi="Century Gothic" w:cs="Corbel"/>
          <w:sz w:val="22"/>
        </w:rPr>
        <w:t>Seastar</w:t>
      </w:r>
      <w:proofErr w:type="spellEnd"/>
      <w:r w:rsidRPr="00702256">
        <w:rPr>
          <w:rFonts w:ascii="Century Gothic" w:eastAsia="Corbel" w:hAnsi="Century Gothic" w:cs="Corbel"/>
          <w:sz w:val="22"/>
        </w:rPr>
        <w:t xml:space="preserve"> Education</w:t>
      </w:r>
      <w:r w:rsidR="00702256" w:rsidRPr="00702256">
        <w:rPr>
          <w:rFonts w:ascii="Century Gothic" w:eastAsia="Corbel" w:hAnsi="Century Gothic" w:cs="Corbel"/>
          <w:sz w:val="22"/>
        </w:rPr>
        <w:t>.</w:t>
      </w:r>
    </w:p>
    <w:sectPr w:rsidR="0018367F" w:rsidRPr="00702256">
      <w:headerReference w:type="default" r:id="rId20"/>
      <w:pgSz w:w="12240" w:h="15840"/>
      <w:pgMar w:top="720" w:right="720" w:bottom="720" w:left="720" w:header="360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1A417" w14:textId="77777777" w:rsidR="00AE0152" w:rsidRDefault="00AE0152">
      <w:r>
        <w:separator/>
      </w:r>
    </w:p>
  </w:endnote>
  <w:endnote w:type="continuationSeparator" w:id="0">
    <w:p w14:paraId="7B6FDB49" w14:textId="77777777" w:rsidR="00AE0152" w:rsidRDefault="00AE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CF568" w14:textId="77777777" w:rsidR="00AE0152" w:rsidRDefault="00AE0152">
      <w:r>
        <w:separator/>
      </w:r>
    </w:p>
  </w:footnote>
  <w:footnote w:type="continuationSeparator" w:id="0">
    <w:p w14:paraId="1A79A867" w14:textId="77777777" w:rsidR="00AE0152" w:rsidRDefault="00AE0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4201F" w14:textId="18FE40B1" w:rsidR="00702256" w:rsidRDefault="00702256">
    <w:pPr>
      <w:pStyle w:val="Header"/>
    </w:pPr>
    <w:r w:rsidRPr="00702256">
      <w:rPr>
        <w:rFonts w:ascii="Century Gothic" w:eastAsia="Corbel" w:hAnsi="Century Gothic" w:cs="Corbel"/>
        <w:sz w:val="22"/>
      </w:rPr>
      <w:drawing>
        <wp:anchor distT="0" distB="0" distL="114300" distR="114300" simplePos="0" relativeHeight="251659264" behindDoc="0" locked="0" layoutInCell="1" allowOverlap="1" wp14:anchorId="6D047CB3" wp14:editId="70D1832C">
          <wp:simplePos x="0" y="0"/>
          <wp:positionH relativeFrom="column">
            <wp:posOffset>6276975</wp:posOffset>
          </wp:positionH>
          <wp:positionV relativeFrom="paragraph">
            <wp:posOffset>-66675</wp:posOffset>
          </wp:positionV>
          <wp:extent cx="838200" cy="615315"/>
          <wp:effectExtent l="0" t="0" r="0" b="0"/>
          <wp:wrapThrough wrapText="bothSides">
            <wp:wrapPolygon edited="0">
              <wp:start x="9164" y="0"/>
              <wp:lineTo x="7200" y="446"/>
              <wp:lineTo x="1309" y="6241"/>
              <wp:lineTo x="0" y="10254"/>
              <wp:lineTo x="0" y="20954"/>
              <wp:lineTo x="21273" y="20954"/>
              <wp:lineTo x="21273" y="11591"/>
              <wp:lineTo x="19964" y="9808"/>
              <wp:lineTo x="14400" y="7133"/>
              <wp:lineTo x="20618" y="4904"/>
              <wp:lineTo x="20945" y="2675"/>
              <wp:lineTo x="16364" y="0"/>
              <wp:lineTo x="9164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67F"/>
    <w:rsid w:val="00075966"/>
    <w:rsid w:val="0018367F"/>
    <w:rsid w:val="003A1BB1"/>
    <w:rsid w:val="003A4890"/>
    <w:rsid w:val="00702256"/>
    <w:rsid w:val="00AE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9732E"/>
  <w15:docId w15:val="{695C83BC-3447-4C51-A58F-1C9100E6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0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270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C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CD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E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60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5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966"/>
  </w:style>
  <w:style w:type="paragraph" w:styleId="Footer">
    <w:name w:val="footer"/>
    <w:basedOn w:val="Normal"/>
    <w:link w:val="FooterChar"/>
    <w:uiPriority w:val="99"/>
    <w:unhideWhenUsed/>
    <w:rsid w:val="00075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visiblethinkingpz.org/VisibleThinking_html_files/03_ThinkingRoutines/03f_TruthRoutines/ClaimSupport/ClaimSupport_Routine.html" TargetMode="External"/><Relationship Id="rId18" Type="http://schemas.openxmlformats.org/officeDocument/2006/relationships/hyperlink" Target="http://www.pz.harvard.edu/resources/i-used-to-think-now-i-think-v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rcsthinkfromthemiddle.com/csi-color-symbol-image.html" TargetMode="External"/><Relationship Id="rId17" Type="http://schemas.openxmlformats.org/officeDocument/2006/relationships/hyperlink" Target="http://www.santeesd.net/cms/lib/CA01000468/Centricity/Domain/12/VT_ChalkTalk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siblethinkingpz.org/VisibleThinking_html_files/03_ThinkingRoutines/03c_Core_routines/CompassPoints/CompassPoints_Routine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hinkingpathwayz.weebly.com/learning_intentions.html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visiblethinkingpz.org/VisibleThinking_html_files/03_ThinkingRoutines/03c_Core_routines/SeeThinkWonder/SeeThinkWonder_Routine.html" TargetMode="External"/><Relationship Id="rId10" Type="http://schemas.openxmlformats.org/officeDocument/2006/relationships/hyperlink" Target="https://inquiryintolearningblog.wordpress.com/2017/04/01/how-split-screen-helps-students-learn-what-why-and-how-they-learn/" TargetMode="External"/><Relationship Id="rId19" Type="http://schemas.openxmlformats.org/officeDocument/2006/relationships/hyperlink" Target="https://k12teacherstaffdevelopment.com/tlb/how-can-plus-minus-interesting-strategy-be-used-in-the-classroom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readwritethink.org/professional-development/strategy-guides/using-think-pair-share-30626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fd7XPlUUsG7MYHSskpaP6Lp0Kw==">AMUW2mX4CTZPBY8SdypNY6Z7vCaTEP5MTa1lo4qihSNEBIfqfNXUIp/Df6Th6e5W5qW1TZT0FEcElwpBtIPZ8X0HsUToFsbt6yF+FTu4y1pkmHOHF/dCx1WXx1KgMuC7sWCPyeespvn9Hfm+zS53edqRt/tFjjIHVQ==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A3B2320CB03439A6B737A749E0A8F" ma:contentTypeVersion="0" ma:contentTypeDescription="Create a new document." ma:contentTypeScope="" ma:versionID="1f100bcbd1622e75f4ef9ba6f84b13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7960E9-2CC9-4C0C-BFBA-B60698606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B641CB-7429-4165-A454-3B94C85D99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B5C27A-E0FF-46C7-A859-4CB398521E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Thayer</dc:creator>
  <cp:lastModifiedBy>Microsoft Office User</cp:lastModifiedBy>
  <cp:revision>2</cp:revision>
  <dcterms:created xsi:type="dcterms:W3CDTF">2019-12-10T18:44:00Z</dcterms:created>
  <dcterms:modified xsi:type="dcterms:W3CDTF">2019-12-10T18:44:00Z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0x010100090A3B2320CB03439A6B737A749E0A8F</vt:lpwstr>
  </property>
</Properties>
</file>