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Ind w:w="-714" w:type="dxa"/>
        <w:tblLook w:val="04A0" w:firstRow="1" w:lastRow="0" w:firstColumn="1" w:lastColumn="0" w:noHBand="0" w:noVBand="1"/>
      </w:tblPr>
      <w:tblGrid>
        <w:gridCol w:w="2127"/>
        <w:gridCol w:w="2692"/>
        <w:gridCol w:w="4820"/>
        <w:gridCol w:w="4820"/>
      </w:tblGrid>
      <w:tr w:rsidR="00763F72" w14:paraId="438C8FA6" w14:textId="77777777" w:rsidTr="00763F72">
        <w:tc>
          <w:tcPr>
            <w:tcW w:w="14459" w:type="dxa"/>
            <w:gridSpan w:val="4"/>
            <w:shd w:val="clear" w:color="auto" w:fill="BDD6EE" w:themeFill="accent5" w:themeFillTint="66"/>
          </w:tcPr>
          <w:p w14:paraId="0D45A30B" w14:textId="77777777" w:rsidR="00763F72" w:rsidRPr="00763F72" w:rsidRDefault="00763F72" w:rsidP="00763F72">
            <w:pPr>
              <w:jc w:val="center"/>
              <w:rPr>
                <w:sz w:val="32"/>
                <w:szCs w:val="32"/>
              </w:rPr>
            </w:pPr>
            <w:r w:rsidRPr="00763F72">
              <w:rPr>
                <w:rFonts w:ascii="Calibri" w:hAnsi="Calibri"/>
                <w:b/>
                <w:bCs/>
                <w:i/>
                <w:sz w:val="32"/>
                <w:szCs w:val="32"/>
              </w:rPr>
              <w:t>What I want students to know, do and understand?</w:t>
            </w:r>
          </w:p>
        </w:tc>
      </w:tr>
      <w:tr w:rsidR="00411BFD" w14:paraId="7FBFA299" w14:textId="77777777" w:rsidTr="00411BFD">
        <w:tc>
          <w:tcPr>
            <w:tcW w:w="2127" w:type="dxa"/>
          </w:tcPr>
          <w:p w14:paraId="4E4FD572" w14:textId="16F60E7F" w:rsidR="00411BFD" w:rsidRPr="00411BFD" w:rsidRDefault="00411BFD" w:rsidP="00763F72">
            <w:pPr>
              <w:jc w:val="center"/>
              <w:rPr>
                <w:b/>
                <w:sz w:val="32"/>
                <w:szCs w:val="32"/>
              </w:rPr>
            </w:pPr>
            <w:r w:rsidRPr="00411BFD">
              <w:rPr>
                <w:b/>
                <w:sz w:val="32"/>
                <w:szCs w:val="32"/>
              </w:rPr>
              <w:t>Concept(s)</w:t>
            </w:r>
          </w:p>
        </w:tc>
        <w:tc>
          <w:tcPr>
            <w:tcW w:w="12332" w:type="dxa"/>
            <w:gridSpan w:val="3"/>
          </w:tcPr>
          <w:p w14:paraId="28F2A563" w14:textId="5CC0DBB6" w:rsidR="00411BFD" w:rsidRPr="00411BFD" w:rsidRDefault="00411BFD" w:rsidP="00763F72">
            <w:pPr>
              <w:jc w:val="center"/>
              <w:rPr>
                <w:b/>
                <w:sz w:val="32"/>
                <w:szCs w:val="32"/>
              </w:rPr>
            </w:pPr>
            <w:r w:rsidRPr="00411BFD">
              <w:rPr>
                <w:rFonts w:ascii="Calibri" w:hAnsi="Calibri"/>
                <w:sz w:val="32"/>
                <w:szCs w:val="32"/>
              </w:rPr>
              <w:t>Relationship, space (spatial awareness), cause and effect</w:t>
            </w:r>
          </w:p>
        </w:tc>
      </w:tr>
      <w:tr w:rsidR="00411BFD" w14:paraId="72E22959" w14:textId="77777777" w:rsidTr="00411BFD">
        <w:tc>
          <w:tcPr>
            <w:tcW w:w="4819" w:type="dxa"/>
            <w:gridSpan w:val="2"/>
          </w:tcPr>
          <w:p w14:paraId="101BC415" w14:textId="77777777" w:rsidR="00411BFD" w:rsidRPr="00763F72" w:rsidRDefault="00411BFD" w:rsidP="00763F72">
            <w:pPr>
              <w:jc w:val="center"/>
              <w:rPr>
                <w:b/>
              </w:rPr>
            </w:pPr>
            <w:r>
              <w:rPr>
                <w:b/>
              </w:rPr>
              <w:t>Big Idea</w:t>
            </w:r>
          </w:p>
        </w:tc>
        <w:tc>
          <w:tcPr>
            <w:tcW w:w="4820" w:type="dxa"/>
          </w:tcPr>
          <w:p w14:paraId="143E23BD" w14:textId="77777777" w:rsidR="00411BFD" w:rsidRPr="00763F72" w:rsidRDefault="00411BFD" w:rsidP="00763F72">
            <w:pPr>
              <w:jc w:val="center"/>
              <w:rPr>
                <w:b/>
              </w:rPr>
            </w:pPr>
            <w:r>
              <w:rPr>
                <w:b/>
              </w:rPr>
              <w:t>Curricular Competencies</w:t>
            </w:r>
          </w:p>
        </w:tc>
        <w:tc>
          <w:tcPr>
            <w:tcW w:w="4820" w:type="dxa"/>
          </w:tcPr>
          <w:p w14:paraId="2EEDC66E" w14:textId="77777777" w:rsidR="00411BFD" w:rsidRDefault="00411BFD" w:rsidP="00763F72">
            <w:pPr>
              <w:jc w:val="center"/>
            </w:pPr>
            <w:r>
              <w:rPr>
                <w:b/>
              </w:rPr>
              <w:t>Content</w:t>
            </w:r>
          </w:p>
        </w:tc>
      </w:tr>
      <w:tr w:rsidR="00411BFD" w14:paraId="15BCE0DA" w14:textId="77777777" w:rsidTr="00411BFD">
        <w:tc>
          <w:tcPr>
            <w:tcW w:w="4819" w:type="dxa"/>
            <w:gridSpan w:val="2"/>
          </w:tcPr>
          <w:p w14:paraId="1D651E81" w14:textId="64886723" w:rsidR="00411BFD" w:rsidRDefault="00411BFD">
            <w:r w:rsidRPr="00F0762E">
              <w:rPr>
                <w:rFonts w:ascii="Calibri" w:hAnsi="Calibri"/>
              </w:rPr>
              <w:t>The constant ratio between the circumference and diameter of circles can be used to describe, measure and compare spatial relationships.</w:t>
            </w:r>
          </w:p>
        </w:tc>
        <w:tc>
          <w:tcPr>
            <w:tcW w:w="4820" w:type="dxa"/>
          </w:tcPr>
          <w:p w14:paraId="4A38A291" w14:textId="77777777" w:rsidR="00411BFD" w:rsidRPr="00411BFD" w:rsidRDefault="00411BFD" w:rsidP="00411BFD">
            <w:pPr>
              <w:rPr>
                <w:rFonts w:ascii="Calibri" w:hAnsi="Calibri"/>
                <w:b/>
                <w:i/>
                <w:sz w:val="20"/>
                <w:szCs w:val="20"/>
              </w:rPr>
            </w:pPr>
            <w:r w:rsidRPr="00411BFD">
              <w:rPr>
                <w:rFonts w:ascii="Calibri" w:hAnsi="Calibri"/>
                <w:b/>
                <w:i/>
                <w:sz w:val="20"/>
                <w:szCs w:val="20"/>
              </w:rPr>
              <w:t>REASONING AND ANALYZING</w:t>
            </w:r>
          </w:p>
          <w:p w14:paraId="79C164A0" w14:textId="77777777" w:rsidR="00411BFD" w:rsidRPr="00411BFD" w:rsidRDefault="00411BFD" w:rsidP="00411BFD">
            <w:pPr>
              <w:pStyle w:val="ListParagraph"/>
              <w:numPr>
                <w:ilvl w:val="0"/>
                <w:numId w:val="1"/>
              </w:numPr>
              <w:ind w:left="190" w:hanging="190"/>
              <w:rPr>
                <w:rFonts w:ascii="Calibri" w:hAnsi="Calibri"/>
                <w:sz w:val="20"/>
                <w:szCs w:val="20"/>
              </w:rPr>
            </w:pPr>
            <w:r w:rsidRPr="00411BFD">
              <w:rPr>
                <w:rFonts w:ascii="Calibri" w:hAnsi="Calibri"/>
                <w:sz w:val="20"/>
                <w:szCs w:val="20"/>
              </w:rPr>
              <w:t>Use reasoning and logic to explore, analyze, and apply mathematical ideas</w:t>
            </w:r>
          </w:p>
          <w:p w14:paraId="0B3E37B4" w14:textId="77777777" w:rsidR="00411BFD" w:rsidRPr="00411BFD" w:rsidRDefault="00411BFD" w:rsidP="00411BFD">
            <w:pPr>
              <w:pStyle w:val="ListParagraph"/>
              <w:numPr>
                <w:ilvl w:val="0"/>
                <w:numId w:val="1"/>
              </w:numPr>
              <w:ind w:left="190" w:hanging="190"/>
              <w:rPr>
                <w:rFonts w:ascii="Calibri" w:hAnsi="Calibri"/>
                <w:sz w:val="20"/>
                <w:szCs w:val="20"/>
              </w:rPr>
            </w:pPr>
            <w:r w:rsidRPr="00411BFD">
              <w:rPr>
                <w:rFonts w:ascii="Calibri" w:hAnsi="Calibri"/>
                <w:sz w:val="20"/>
                <w:szCs w:val="20"/>
              </w:rPr>
              <w:t>Estimate reasonably</w:t>
            </w:r>
          </w:p>
          <w:p w14:paraId="6CEBA551" w14:textId="77777777" w:rsidR="00411BFD" w:rsidRPr="00411BFD" w:rsidRDefault="00411BFD" w:rsidP="00411BFD">
            <w:pPr>
              <w:pStyle w:val="ListParagraph"/>
              <w:numPr>
                <w:ilvl w:val="0"/>
                <w:numId w:val="1"/>
              </w:numPr>
              <w:ind w:left="190" w:hanging="190"/>
              <w:rPr>
                <w:rFonts w:ascii="Calibri" w:hAnsi="Calibri"/>
                <w:sz w:val="20"/>
                <w:szCs w:val="20"/>
              </w:rPr>
            </w:pPr>
            <w:r w:rsidRPr="00411BFD">
              <w:rPr>
                <w:rFonts w:ascii="Calibri" w:hAnsi="Calibri"/>
                <w:sz w:val="20"/>
                <w:szCs w:val="20"/>
              </w:rPr>
              <w:t>Use tools/technology to explore and create patterns and relationships, and test conjectures</w:t>
            </w:r>
          </w:p>
          <w:p w14:paraId="273205B8" w14:textId="77777777" w:rsidR="00411BFD" w:rsidRPr="00411BFD" w:rsidRDefault="00411BFD" w:rsidP="00411BFD">
            <w:pPr>
              <w:rPr>
                <w:rFonts w:ascii="Calibri" w:hAnsi="Calibri"/>
                <w:b/>
                <w:i/>
                <w:sz w:val="20"/>
                <w:szCs w:val="20"/>
              </w:rPr>
            </w:pPr>
            <w:r w:rsidRPr="00411BFD">
              <w:rPr>
                <w:rFonts w:ascii="Calibri" w:hAnsi="Calibri"/>
                <w:b/>
                <w:i/>
                <w:sz w:val="20"/>
                <w:szCs w:val="20"/>
              </w:rPr>
              <w:t>UNDERSTANDING AND SOLVING</w:t>
            </w:r>
          </w:p>
          <w:p w14:paraId="45122FE5"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Apply multiple strategies to solve problems</w:t>
            </w:r>
          </w:p>
          <w:p w14:paraId="65C44C0A"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Develop, demonstrate and apply mathematical understanding through play, inquiry and problem solving</w:t>
            </w:r>
          </w:p>
          <w:p w14:paraId="36A61265"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Visualize to explore mathematical concepts</w:t>
            </w:r>
          </w:p>
          <w:p w14:paraId="1C1C82B6"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Engage in problem solving experiences that are connected to place, story, cultural practices and perspectives relevant to local First Peoples communities, the local community, and other cultures</w:t>
            </w:r>
          </w:p>
          <w:p w14:paraId="0CCF47AD" w14:textId="77777777" w:rsidR="00411BFD" w:rsidRPr="00411BFD" w:rsidRDefault="00411BFD" w:rsidP="00411BFD">
            <w:pPr>
              <w:rPr>
                <w:rFonts w:ascii="Calibri" w:hAnsi="Calibri"/>
                <w:b/>
                <w:i/>
                <w:sz w:val="20"/>
                <w:szCs w:val="20"/>
              </w:rPr>
            </w:pPr>
            <w:r w:rsidRPr="00411BFD">
              <w:rPr>
                <w:rFonts w:ascii="Calibri" w:hAnsi="Calibri"/>
                <w:b/>
                <w:i/>
                <w:sz w:val="20"/>
                <w:szCs w:val="20"/>
              </w:rPr>
              <w:t>COMMUNICATING AND REPRESENTING</w:t>
            </w:r>
          </w:p>
          <w:p w14:paraId="06FD7D3C"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Use mathematical vocabulary and language to contribute to mathematical discussions</w:t>
            </w:r>
          </w:p>
          <w:p w14:paraId="45BA21EA"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Explain and justify mathematical ideas and decisions</w:t>
            </w:r>
          </w:p>
          <w:p w14:paraId="10B3F3EA"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Communicate mathematical thinking in many ways</w:t>
            </w:r>
          </w:p>
          <w:p w14:paraId="62A10CAE" w14:textId="77777777" w:rsidR="00411BFD" w:rsidRPr="00411BFD" w:rsidRDefault="00411BFD" w:rsidP="00411BFD">
            <w:pPr>
              <w:rPr>
                <w:rFonts w:ascii="Calibri" w:hAnsi="Calibri"/>
                <w:b/>
                <w:i/>
                <w:sz w:val="20"/>
                <w:szCs w:val="20"/>
              </w:rPr>
            </w:pPr>
            <w:r w:rsidRPr="00411BFD">
              <w:rPr>
                <w:rFonts w:ascii="Calibri" w:hAnsi="Calibri"/>
                <w:b/>
                <w:i/>
                <w:sz w:val="20"/>
                <w:szCs w:val="20"/>
              </w:rPr>
              <w:t>CONNECTING AND REFLECTING</w:t>
            </w:r>
          </w:p>
          <w:p w14:paraId="577063A6"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Reflect on mathematical thinking</w:t>
            </w:r>
          </w:p>
          <w:p w14:paraId="0DABBB7D" w14:textId="77777777"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Connect mathematical concepts to each other and other areas of personal interest</w:t>
            </w:r>
          </w:p>
          <w:p w14:paraId="279578AB" w14:textId="73C8BE45" w:rsidR="00411BFD" w:rsidRPr="00411BFD" w:rsidRDefault="00411BFD" w:rsidP="00411BFD">
            <w:pPr>
              <w:pStyle w:val="ListParagraph"/>
              <w:numPr>
                <w:ilvl w:val="0"/>
                <w:numId w:val="1"/>
              </w:numPr>
              <w:ind w:left="209" w:hanging="209"/>
              <w:rPr>
                <w:rFonts w:ascii="Calibri" w:hAnsi="Calibri"/>
                <w:sz w:val="20"/>
                <w:szCs w:val="20"/>
              </w:rPr>
            </w:pPr>
            <w:r w:rsidRPr="00411BFD">
              <w:rPr>
                <w:rFonts w:ascii="Calibri" w:hAnsi="Calibri"/>
                <w:sz w:val="20"/>
                <w:szCs w:val="20"/>
              </w:rPr>
              <w:t>Incorporate First Peoples worldviews and perspectives</w:t>
            </w:r>
          </w:p>
        </w:tc>
        <w:tc>
          <w:tcPr>
            <w:tcW w:w="4820" w:type="dxa"/>
          </w:tcPr>
          <w:p w14:paraId="35D8FBDC" w14:textId="77777777" w:rsidR="00411BFD" w:rsidRPr="00411BFD" w:rsidRDefault="00411BFD" w:rsidP="00411BFD">
            <w:pPr>
              <w:pStyle w:val="ListParagraph"/>
              <w:numPr>
                <w:ilvl w:val="0"/>
                <w:numId w:val="2"/>
              </w:numPr>
              <w:ind w:left="190" w:hanging="190"/>
              <w:rPr>
                <w:rFonts w:ascii="Calibri" w:hAnsi="Calibri"/>
              </w:rPr>
            </w:pPr>
            <w:r w:rsidRPr="00411BFD">
              <w:rPr>
                <w:rFonts w:ascii="Calibri" w:hAnsi="Calibri"/>
              </w:rPr>
              <w:t>Circumference and area of circles</w:t>
            </w:r>
          </w:p>
          <w:p w14:paraId="6042E855" w14:textId="77777777" w:rsidR="00411BFD" w:rsidRPr="00411BFD" w:rsidRDefault="00411BFD" w:rsidP="00411BFD">
            <w:pPr>
              <w:pStyle w:val="ListParagraph"/>
              <w:numPr>
                <w:ilvl w:val="0"/>
                <w:numId w:val="2"/>
              </w:numPr>
              <w:ind w:left="190" w:hanging="190"/>
              <w:rPr>
                <w:rFonts w:ascii="Calibri" w:hAnsi="Calibri"/>
              </w:rPr>
            </w:pPr>
            <w:r w:rsidRPr="00411BFD">
              <w:rPr>
                <w:rFonts w:ascii="Calibri" w:hAnsi="Calibri"/>
              </w:rPr>
              <w:t>Volume of rectangular prisms and cylinders</w:t>
            </w:r>
          </w:p>
          <w:p w14:paraId="3B786B65" w14:textId="01D7F4AD" w:rsidR="00411BFD" w:rsidRPr="00763F72" w:rsidRDefault="00411BFD" w:rsidP="00411BFD">
            <w:pPr>
              <w:pStyle w:val="ListParagraph"/>
              <w:numPr>
                <w:ilvl w:val="0"/>
                <w:numId w:val="2"/>
              </w:numPr>
              <w:ind w:left="209" w:hanging="209"/>
              <w:rPr>
                <w:rFonts w:ascii="Calibri" w:hAnsi="Calibri"/>
                <w:sz w:val="20"/>
                <w:szCs w:val="20"/>
              </w:rPr>
            </w:pPr>
            <w:r w:rsidRPr="00411BFD">
              <w:rPr>
                <w:rFonts w:ascii="Calibri" w:hAnsi="Calibri"/>
              </w:rPr>
              <w:t>Financial literacy (see GRASPS task)</w:t>
            </w:r>
          </w:p>
        </w:tc>
      </w:tr>
      <w:tr w:rsidR="00763F72" w14:paraId="5D2FB0E4" w14:textId="77777777" w:rsidTr="00763F72">
        <w:tc>
          <w:tcPr>
            <w:tcW w:w="14459" w:type="dxa"/>
            <w:gridSpan w:val="4"/>
            <w:shd w:val="clear" w:color="auto" w:fill="BDD6EE" w:themeFill="accent5" w:themeFillTint="66"/>
          </w:tcPr>
          <w:p w14:paraId="0A0AD8E6" w14:textId="77777777" w:rsidR="00763F72" w:rsidRPr="00763F72" w:rsidRDefault="00763F72" w:rsidP="00763F72">
            <w:pPr>
              <w:jc w:val="center"/>
              <w:rPr>
                <w:sz w:val="32"/>
                <w:szCs w:val="32"/>
              </w:rPr>
            </w:pPr>
            <w:r w:rsidRPr="00763F72">
              <w:rPr>
                <w:rFonts w:ascii="Calibri" w:hAnsi="Calibri"/>
                <w:b/>
                <w:bCs/>
                <w:i/>
                <w:sz w:val="32"/>
                <w:szCs w:val="32"/>
              </w:rPr>
              <w:t>How will I know my students have it?</w:t>
            </w:r>
          </w:p>
        </w:tc>
      </w:tr>
      <w:tr w:rsidR="00763F72" w14:paraId="2772FBEE" w14:textId="77777777" w:rsidTr="00763F72">
        <w:tc>
          <w:tcPr>
            <w:tcW w:w="14459" w:type="dxa"/>
            <w:gridSpan w:val="4"/>
          </w:tcPr>
          <w:p w14:paraId="09A203A8" w14:textId="77777777" w:rsidR="00763F72" w:rsidRPr="00763F72" w:rsidRDefault="00763F72" w:rsidP="00763F72">
            <w:pPr>
              <w:jc w:val="center"/>
              <w:rPr>
                <w:b/>
              </w:rPr>
            </w:pPr>
            <w:r w:rsidRPr="00763F72">
              <w:rPr>
                <w:b/>
              </w:rPr>
              <w:t>Summative Assessment</w:t>
            </w:r>
          </w:p>
        </w:tc>
      </w:tr>
      <w:tr w:rsidR="00180217" w14:paraId="3E33C80D" w14:textId="77777777" w:rsidTr="00C249FA">
        <w:tc>
          <w:tcPr>
            <w:tcW w:w="14459" w:type="dxa"/>
            <w:gridSpan w:val="4"/>
          </w:tcPr>
          <w:p w14:paraId="47986DF5" w14:textId="77777777" w:rsidR="00180217" w:rsidRDefault="00180217" w:rsidP="00180217">
            <w:pPr>
              <w:rPr>
                <w:rFonts w:ascii="Calibri" w:hAnsi="Calibri"/>
              </w:rPr>
            </w:pPr>
            <w:r>
              <w:rPr>
                <w:rFonts w:ascii="Calibri" w:hAnsi="Calibri"/>
              </w:rPr>
              <w:t xml:space="preserve">GRASPS TASK – </w:t>
            </w:r>
          </w:p>
          <w:p w14:paraId="3DBF3528" w14:textId="77777777" w:rsidR="00180217" w:rsidRDefault="00180217" w:rsidP="00180217">
            <w:pPr>
              <w:pStyle w:val="ListParagraph"/>
              <w:numPr>
                <w:ilvl w:val="0"/>
                <w:numId w:val="2"/>
              </w:numPr>
              <w:rPr>
                <w:rFonts w:ascii="Calibri" w:hAnsi="Calibri"/>
              </w:rPr>
            </w:pPr>
            <w:r>
              <w:rPr>
                <w:rFonts w:ascii="Calibri" w:hAnsi="Calibri"/>
              </w:rPr>
              <w:t>Which sized pizza boxes are needed for small, medium and large pizzas?</w:t>
            </w:r>
          </w:p>
          <w:p w14:paraId="6B67219C" w14:textId="77777777" w:rsidR="00180217" w:rsidRDefault="00180217" w:rsidP="00180217">
            <w:pPr>
              <w:pStyle w:val="ListParagraph"/>
              <w:numPr>
                <w:ilvl w:val="0"/>
                <w:numId w:val="2"/>
              </w:numPr>
              <w:rPr>
                <w:rFonts w:ascii="Calibri" w:hAnsi="Calibri"/>
              </w:rPr>
            </w:pPr>
            <w:r>
              <w:rPr>
                <w:rFonts w:ascii="Calibri" w:hAnsi="Calibri"/>
              </w:rPr>
              <w:t>Which pizza restaurants have the best buy?  Most pizza for the cost?</w:t>
            </w:r>
          </w:p>
          <w:p w14:paraId="6E8154F5" w14:textId="77777777" w:rsidR="00180217" w:rsidRPr="00197A98" w:rsidRDefault="00180217" w:rsidP="00180217">
            <w:pPr>
              <w:pStyle w:val="ListParagraph"/>
              <w:numPr>
                <w:ilvl w:val="0"/>
                <w:numId w:val="2"/>
              </w:numPr>
              <w:rPr>
                <w:rFonts w:ascii="Calibri" w:hAnsi="Calibri"/>
              </w:rPr>
            </w:pPr>
            <w:r>
              <w:rPr>
                <w:rFonts w:ascii="Calibri" w:hAnsi="Calibri"/>
              </w:rPr>
              <w:t>Connect to financial literacy</w:t>
            </w:r>
          </w:p>
          <w:p w14:paraId="484B8502" w14:textId="5F0215C2" w:rsidR="00180217" w:rsidRDefault="00180217" w:rsidP="00763F72">
            <w:pPr>
              <w:rPr>
                <w:rFonts w:ascii="Calibri" w:hAnsi="Calibri"/>
              </w:rPr>
            </w:pPr>
          </w:p>
          <w:p w14:paraId="7F175C10" w14:textId="7FAA3EAD" w:rsidR="00180217" w:rsidRPr="00763F72" w:rsidRDefault="00180217" w:rsidP="00180217">
            <w:pPr>
              <w:rPr>
                <w:rFonts w:ascii="Calibri" w:hAnsi="Calibri"/>
                <w:b/>
                <w:i/>
              </w:rPr>
            </w:pPr>
          </w:p>
        </w:tc>
      </w:tr>
      <w:tr w:rsidR="00180217" w14:paraId="449E7BFB" w14:textId="77777777" w:rsidTr="003555D2">
        <w:tc>
          <w:tcPr>
            <w:tcW w:w="14459" w:type="dxa"/>
            <w:gridSpan w:val="4"/>
          </w:tcPr>
          <w:p w14:paraId="035C9EB5" w14:textId="77777777" w:rsidR="00180217" w:rsidRPr="00F55C21" w:rsidRDefault="00180217" w:rsidP="00180217">
            <w:pPr>
              <w:rPr>
                <w:rFonts w:ascii="Calibri" w:hAnsi="Calibri"/>
                <w:b/>
                <w:u w:val="single"/>
              </w:rPr>
            </w:pPr>
            <w:r w:rsidRPr="00F55C21">
              <w:rPr>
                <w:rFonts w:ascii="Calibri" w:hAnsi="Calibri"/>
                <w:b/>
                <w:u w:val="single"/>
              </w:rPr>
              <w:lastRenderedPageBreak/>
              <w:t xml:space="preserve">GRASPS TASK - </w:t>
            </w:r>
          </w:p>
          <w:p w14:paraId="13412A3F" w14:textId="77777777" w:rsidR="00180217" w:rsidRDefault="00180217" w:rsidP="00180217">
            <w:pPr>
              <w:rPr>
                <w:rFonts w:ascii="Calibri" w:hAnsi="Calibri"/>
              </w:rPr>
            </w:pPr>
            <w:r w:rsidRPr="003F3050">
              <w:rPr>
                <w:rFonts w:ascii="Calibri" w:hAnsi="Calibri"/>
                <w:b/>
              </w:rPr>
              <w:t>Goal</w:t>
            </w:r>
            <w:r>
              <w:rPr>
                <w:rFonts w:ascii="Calibri" w:hAnsi="Calibri"/>
              </w:rPr>
              <w:t xml:space="preserve"> - comparing areas of different sized circles and connecting to the volume of a rectangular prism</w:t>
            </w:r>
          </w:p>
          <w:p w14:paraId="45FE77F8" w14:textId="77777777" w:rsidR="00180217" w:rsidRDefault="00180217" w:rsidP="00180217">
            <w:pPr>
              <w:rPr>
                <w:rFonts w:ascii="Calibri" w:hAnsi="Calibri"/>
              </w:rPr>
            </w:pPr>
            <w:r w:rsidRPr="003F3050">
              <w:rPr>
                <w:rFonts w:ascii="Calibri" w:hAnsi="Calibri"/>
                <w:b/>
              </w:rPr>
              <w:t xml:space="preserve">Role </w:t>
            </w:r>
            <w:r>
              <w:rPr>
                <w:rFonts w:ascii="Calibri" w:hAnsi="Calibri"/>
              </w:rPr>
              <w:t xml:space="preserve">– Owner of a Pizzeria </w:t>
            </w:r>
          </w:p>
          <w:p w14:paraId="4E4D5111" w14:textId="77777777" w:rsidR="00180217" w:rsidRDefault="00180217" w:rsidP="00180217">
            <w:pPr>
              <w:rPr>
                <w:rFonts w:ascii="Calibri" w:hAnsi="Calibri"/>
              </w:rPr>
            </w:pPr>
            <w:r>
              <w:rPr>
                <w:rFonts w:ascii="Calibri" w:hAnsi="Calibri"/>
              </w:rPr>
              <w:t>Audience – yourself and your customers</w:t>
            </w:r>
          </w:p>
          <w:p w14:paraId="072BC934" w14:textId="77777777" w:rsidR="00180217" w:rsidRDefault="00180217" w:rsidP="00180217">
            <w:pPr>
              <w:rPr>
                <w:rFonts w:ascii="Calibri" w:hAnsi="Calibri"/>
              </w:rPr>
            </w:pPr>
            <w:r w:rsidRPr="003F3050">
              <w:rPr>
                <w:rFonts w:ascii="Calibri" w:hAnsi="Calibri"/>
                <w:b/>
              </w:rPr>
              <w:t>Situation</w:t>
            </w:r>
            <w:r>
              <w:rPr>
                <w:rFonts w:ascii="Calibri" w:hAnsi="Calibri"/>
              </w:rPr>
              <w:t xml:space="preserve"> – You own a small pizzeria and have limited storage space.  You need to purchase pizza boxes for the various sizes of pizza that you make.  These boxes need to take up the least amount of space in your shop.  You will need to calculate the area and circumference of your various pizzas, to determine which volume of pizza boxes would be most effective for this purpose.  </w:t>
            </w:r>
          </w:p>
          <w:p w14:paraId="35D28311" w14:textId="77777777" w:rsidR="00180217" w:rsidRPr="003F3050" w:rsidRDefault="00180217" w:rsidP="00180217">
            <w:pPr>
              <w:rPr>
                <w:rFonts w:ascii="Calibri" w:hAnsi="Calibri"/>
              </w:rPr>
            </w:pPr>
            <w:r w:rsidRPr="003F3050">
              <w:rPr>
                <w:rFonts w:ascii="Calibri" w:hAnsi="Calibri"/>
                <w:b/>
              </w:rPr>
              <w:t xml:space="preserve">Product </w:t>
            </w:r>
            <w:r>
              <w:rPr>
                <w:rFonts w:ascii="Calibri" w:hAnsi="Calibri"/>
                <w:b/>
              </w:rPr>
              <w:t>–</w:t>
            </w:r>
            <w:r w:rsidRPr="003F3050">
              <w:rPr>
                <w:rFonts w:ascii="Calibri" w:hAnsi="Calibri"/>
                <w:b/>
              </w:rPr>
              <w:t xml:space="preserve"> </w:t>
            </w:r>
            <w:r>
              <w:rPr>
                <w:rFonts w:ascii="Calibri" w:hAnsi="Calibri"/>
              </w:rPr>
              <w:t>create physical models or drawings that show the circumference and area of your various pizzas, as well as the volume of the associated pizza boxes</w:t>
            </w:r>
          </w:p>
          <w:p w14:paraId="67FAFF56" w14:textId="77777777" w:rsidR="00180217" w:rsidRDefault="00180217" w:rsidP="00180217">
            <w:pPr>
              <w:rPr>
                <w:rFonts w:ascii="Calibri" w:hAnsi="Calibri"/>
              </w:rPr>
            </w:pPr>
            <w:r w:rsidRPr="003F3050">
              <w:rPr>
                <w:rFonts w:ascii="Calibri" w:hAnsi="Calibri"/>
                <w:b/>
              </w:rPr>
              <w:t>Differentiation</w:t>
            </w:r>
            <w:r>
              <w:rPr>
                <w:rFonts w:ascii="Calibri" w:hAnsi="Calibri"/>
              </w:rPr>
              <w:t xml:space="preserve"> – provide formula sheets as necessary, make physical models to reinforce understanding, providing scaffolding templates as needed</w:t>
            </w:r>
          </w:p>
          <w:p w14:paraId="2322701E" w14:textId="77777777" w:rsidR="00180217" w:rsidRDefault="00180217" w:rsidP="00180217">
            <w:pPr>
              <w:rPr>
                <w:rFonts w:ascii="Calibri" w:hAnsi="Calibri"/>
              </w:rPr>
            </w:pPr>
          </w:p>
          <w:p w14:paraId="34693EE4" w14:textId="7B33FB9F" w:rsidR="00180217" w:rsidRDefault="00180217" w:rsidP="00180217">
            <w:r w:rsidRPr="00235E6C">
              <w:rPr>
                <w:rFonts w:ascii="Calibri" w:hAnsi="Calibri"/>
                <w:b/>
              </w:rPr>
              <w:t>Indigenous connections</w:t>
            </w:r>
            <w:r>
              <w:rPr>
                <w:rFonts w:ascii="Calibri" w:hAnsi="Calibri"/>
              </w:rPr>
              <w:t>: FNESC Math Unit on Surface Area and Volume of Bentwood Boxes</w:t>
            </w:r>
            <w:bookmarkStart w:id="0" w:name="_GoBack"/>
            <w:bookmarkEnd w:id="0"/>
          </w:p>
        </w:tc>
      </w:tr>
    </w:tbl>
    <w:p w14:paraId="0F072D25" w14:textId="77777777" w:rsidR="006D71BA" w:rsidRDefault="00CD04A3"/>
    <w:sectPr w:rsidR="006D71BA" w:rsidSect="00763F72">
      <w:headerReference w:type="default" r:id="rId7"/>
      <w:pgSz w:w="15840" w:h="12240" w:orient="landscape"/>
      <w:pgMar w:top="1440" w:right="1440" w:bottom="765" w:left="1440"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9C39E" w14:textId="77777777" w:rsidR="00CD04A3" w:rsidRDefault="00CD04A3" w:rsidP="00763F72">
      <w:r>
        <w:separator/>
      </w:r>
    </w:p>
  </w:endnote>
  <w:endnote w:type="continuationSeparator" w:id="0">
    <w:p w14:paraId="7CD12342" w14:textId="77777777" w:rsidR="00CD04A3" w:rsidRDefault="00CD04A3" w:rsidP="007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4546" w14:textId="77777777" w:rsidR="00CD04A3" w:rsidRDefault="00CD04A3" w:rsidP="00763F72">
      <w:r>
        <w:separator/>
      </w:r>
    </w:p>
  </w:footnote>
  <w:footnote w:type="continuationSeparator" w:id="0">
    <w:p w14:paraId="0664B6B1" w14:textId="77777777" w:rsidR="00CD04A3" w:rsidRDefault="00CD04A3" w:rsidP="0076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6AB" w14:textId="3A76D3FD" w:rsidR="00763F72" w:rsidRPr="00763F72" w:rsidRDefault="00411BFD" w:rsidP="00763F72">
    <w:pPr>
      <w:pStyle w:val="Header"/>
      <w:ind w:hanging="709"/>
      <w:rPr>
        <w:b/>
        <w:sz w:val="40"/>
        <w:szCs w:val="40"/>
      </w:rPr>
    </w:pPr>
    <w:r>
      <w:rPr>
        <w:b/>
        <w:sz w:val="40"/>
        <w:szCs w:val="40"/>
      </w:rPr>
      <w:t>Circumference, Area and Volume</w:t>
    </w:r>
    <w:r w:rsidR="00763F72" w:rsidRPr="00763F72">
      <w:rPr>
        <w:b/>
        <w:sz w:val="40"/>
        <w:szCs w:val="40"/>
      </w:rPr>
      <w:t xml:space="preserve"> – Math Grade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747D8"/>
    <w:multiLevelType w:val="hybridMultilevel"/>
    <w:tmpl w:val="E3560118"/>
    <w:lvl w:ilvl="0" w:tplc="0F385C7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8183E"/>
    <w:multiLevelType w:val="hybridMultilevel"/>
    <w:tmpl w:val="EF982784"/>
    <w:lvl w:ilvl="0" w:tplc="6FC2ED8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2"/>
    <w:rsid w:val="00180217"/>
    <w:rsid w:val="0023415B"/>
    <w:rsid w:val="00244191"/>
    <w:rsid w:val="003710EE"/>
    <w:rsid w:val="00411BFD"/>
    <w:rsid w:val="004259EB"/>
    <w:rsid w:val="005263F5"/>
    <w:rsid w:val="00611751"/>
    <w:rsid w:val="00763F72"/>
    <w:rsid w:val="00C501ED"/>
    <w:rsid w:val="00CD04A3"/>
    <w:rsid w:val="00EC48AD"/>
    <w:rsid w:val="00ED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D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F72"/>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763F72"/>
    <w:pPr>
      <w:tabs>
        <w:tab w:val="center" w:pos="4680"/>
        <w:tab w:val="right" w:pos="9360"/>
      </w:tabs>
    </w:pPr>
  </w:style>
  <w:style w:type="character" w:customStyle="1" w:styleId="HeaderChar">
    <w:name w:val="Header Char"/>
    <w:basedOn w:val="DefaultParagraphFont"/>
    <w:link w:val="Header"/>
    <w:uiPriority w:val="99"/>
    <w:rsid w:val="00763F72"/>
    <w:rPr>
      <w:lang w:val="en-CA"/>
    </w:rPr>
  </w:style>
  <w:style w:type="paragraph" w:styleId="Footer">
    <w:name w:val="footer"/>
    <w:basedOn w:val="Normal"/>
    <w:link w:val="FooterChar"/>
    <w:uiPriority w:val="99"/>
    <w:unhideWhenUsed/>
    <w:rsid w:val="00763F72"/>
    <w:pPr>
      <w:tabs>
        <w:tab w:val="center" w:pos="4680"/>
        <w:tab w:val="right" w:pos="9360"/>
      </w:tabs>
    </w:pPr>
  </w:style>
  <w:style w:type="character" w:customStyle="1" w:styleId="FooterChar">
    <w:name w:val="Footer Char"/>
    <w:basedOn w:val="DefaultParagraphFont"/>
    <w:link w:val="Footer"/>
    <w:uiPriority w:val="99"/>
    <w:rsid w:val="00763F72"/>
    <w:rPr>
      <w:lang w:val="en-CA"/>
    </w:rPr>
  </w:style>
  <w:style w:type="paragraph" w:customStyle="1" w:styleId="Body">
    <w:name w:val="Body"/>
    <w:rsid w:val="00C501E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Kammi Clark</dc:creator>
  <cp:keywords/>
  <dc:description/>
  <cp:lastModifiedBy>Kammi Clark</cp:lastModifiedBy>
  <cp:revision>3</cp:revision>
  <dcterms:created xsi:type="dcterms:W3CDTF">2018-05-31T21:56:00Z</dcterms:created>
  <dcterms:modified xsi:type="dcterms:W3CDTF">2018-05-31T22:00:00Z</dcterms:modified>
</cp:coreProperties>
</file>